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D57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项目简介、主要知识产权目录及推广应用情况</w:t>
      </w:r>
    </w:p>
    <w:p w14:paraId="4C951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项目一</w:t>
      </w:r>
    </w:p>
    <w:p w14:paraId="363D06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1. 项目名称</w:t>
      </w:r>
    </w:p>
    <w:p w14:paraId="20D57A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心血管病复发“风邪致复”病机学说创新及“固本息风”关键防复技术临床应用</w:t>
      </w:r>
    </w:p>
    <w:p w14:paraId="1BE2677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主要完成人</w:t>
      </w:r>
    </w:p>
    <w:p w14:paraId="23ADE4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王新东，毛晨晗，张蒙，季海刚，李婕，沈建平，陈兆阳</w:t>
      </w:r>
    </w:p>
    <w:p w14:paraId="0E87209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主要完成单位</w:t>
      </w:r>
    </w:p>
    <w:p w14:paraId="72CBF3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江苏省中医药研究院，南京中医药大学，江苏省中医院，常州市中医医院，山东中医药大学附属医院</w:t>
      </w:r>
    </w:p>
    <w:p w14:paraId="7DD5B6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4. 项目简介</w:t>
      </w:r>
    </w:p>
    <w:p w14:paraId="4F00FBF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心血管疾病（冠心病、心衰、心律失常等）普遍存在“稳定期-复发期”动态演变特征，即便在指南导向药物治疗（GDMT）规范覆盖下，复发率、反复住院率仍居高不下，造成直接医疗成本提升。当前西医干预体系虽在急性期救治中发挥核心作用，但针对“复发窗口期”的动态病理演变规律识别滞后、早期预警技术不足、长期干预靶点单一，难以阻断“病理指标短期改善-远期复发风险累积”的恶性循环。中医学“既病防变”“瘥后防复”理论体系与心血管疾病二级预防的长期管理需求高度契合，但现有研究面临两大瓶颈：① 病机理论创新滞后——传统“气虚血瘀”“痰浊阻络”等静态病机模型难以解释复发期“起病迅速、病情骤变”的动态特征；② 精准干预技术缺失——中医药防复手段多停留于经验性用药，缺乏基于病机突破的可量化、可推广技术体系。</w:t>
      </w:r>
    </w:p>
    <w:p w14:paraId="41E2885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针对上述难题，课题组历经20余年攻关，基于心血管疾病复发期“起病急骤、传变迅速”的临床特征与中医学“风性善行数变”“风邪为百病之长”理论的深度关联，提出“风邪致复”创新病机学说，揭示“风邪引动伏痰瘀火”是复发期病理演变的核心机制，并据此构建“西医靶向治疗-中医固本息风防复”的中西医协同预防复发体系。该体系包含“湿盛风引”、“风引水乘”、“风火相煽”三大核心理论，均以“风邪”为纽带，串联湿、水、火等病理因素，构建了心系疾病“风病机”辨证新范式，并研发系列专利方剂转化临床应用，推动中医心血管病诊疗的标准化与精准化。该体系突破GDMT单纯抑制病理指标的局限，通过病机理论认识的突破、固本息风系列方药组方优化及转化临床应用等核心技术，实现“复发窗口期”的精准截断。为心血管疾病二级预防提供了中西医协同的理论范式与技术路径。</w:t>
      </w:r>
    </w:p>
    <w:p w14:paraId="6E65FF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5. 主要知识产权目录</w:t>
      </w:r>
    </w:p>
    <w:p w14:paraId="5AA2CD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[1]王新东；张蒙；毛晨晗；马文祺；祁晓霞。一种含青叶胆的中药复方组合物在制备治疗冠心病二级预防药物中的应用，中国，发明专利，专利号：ZL 2022 1 0696773.2，授权公告日：2023年04月07日，授权公告号：CN 115089676 B，证书号 第5848528号</w:t>
      </w:r>
    </w:p>
    <w:p w14:paraId="40CB40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[2]王新东;张蒙;毛晨晗。一种新型冠状病毒感染相关心肌损伤的中药复方组合物及制备方法，中国，发明专利，专利号：ZL 2023 1 0636445.8，授权公告日：2024年05月28日，授权公告号：CN 116920047 B，证书号 第7040608号。</w:t>
      </w:r>
    </w:p>
    <w:p w14:paraId="25CAD3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6. 推广应用情况</w:t>
      </w:r>
    </w:p>
    <w:p w14:paraId="21277F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研发的固本息风系列方剂应用于江苏省中医药研究院等医院，显著提升了相关疾病的临床疗效。</w:t>
      </w:r>
    </w:p>
    <w:p w14:paraId="4773E362">
      <w:pPr>
        <w:rPr>
          <w:rFonts w:ascii="Times New Roman" w:hAnsi="Times New Roman" w:eastAsia="方正仿宋_GBK"/>
          <w:sz w:val="28"/>
          <w:szCs w:val="28"/>
        </w:rPr>
      </w:pPr>
    </w:p>
    <w:p w14:paraId="7335FF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项目二</w:t>
      </w:r>
    </w:p>
    <w:p w14:paraId="2487DF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1. 项目名称</w:t>
      </w:r>
    </w:p>
    <w:p w14:paraId="4DB84F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微波消融治疗甲状腺和甲状旁腺疾病</w:t>
      </w:r>
    </w:p>
    <w:p w14:paraId="2F8EC215">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主要完成人</w:t>
      </w:r>
    </w:p>
    <w:p w14:paraId="136C100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徐书杭，刘超，陈国芳，褚晓秋，张会峰，赵月婷，何志伟，李昱江</w:t>
      </w:r>
    </w:p>
    <w:p w14:paraId="1C96D009">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主要完成单位</w:t>
      </w:r>
    </w:p>
    <w:p w14:paraId="63A557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江苏省中医药研究院</w:t>
      </w:r>
    </w:p>
    <w:p w14:paraId="2274910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项目简介</w:t>
      </w:r>
    </w:p>
    <w:p w14:paraId="5F8E24D2">
      <w:pPr>
        <w:keepNext w:val="0"/>
        <w:keepLines w:val="0"/>
        <w:pageBreakBefore w:val="0"/>
        <w:widowControl w:val="0"/>
        <w:kinsoku/>
        <w:wordWrap/>
        <w:overflowPunct/>
        <w:topLinePunct w:val="0"/>
        <w:autoSpaceDE/>
        <w:autoSpaceDN/>
        <w:bidi w:val="0"/>
        <w:adjustRightInd w:val="0"/>
        <w:snapToGrid/>
        <w:spacing w:after="72" w:afterLines="30"/>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甲状腺和甲状旁腺疾病分别是较为常见和少见的内分泌疾病。随着超声检查的广泛应用、社会生活的加快、人民群众对高健康质量的需求，甲状腺和甲状旁腺疾病的检出率越来越高，治疗方式逐步趋于微创、安全。我们在江苏省社会发展基金等项目的支持下，经过10年的临床工作和系列研究，对良性甲状腺结节、低危甲状腺癌、复发性甲状腺癌、持续性/复发性甲亢、原发性甲状旁腺功能亢进症尤其是罕见的遗传性甲状旁腺功能亢进症（PHPT）开展了微波消融（MWA）和队列研究，取得了以下成果：</w:t>
      </w:r>
    </w:p>
    <w:p w14:paraId="2A50AB78">
      <w:pPr>
        <w:keepNext w:val="0"/>
        <w:keepLines w:val="0"/>
        <w:pageBreakBefore w:val="0"/>
        <w:widowControl w:val="0"/>
        <w:numPr>
          <w:ilvl w:val="0"/>
          <w:numId w:val="0"/>
        </w:numPr>
        <w:kinsoku/>
        <w:wordWrap/>
        <w:overflowPunct/>
        <w:topLinePunct w:val="0"/>
        <w:autoSpaceDE/>
        <w:autoSpaceDN/>
        <w:bidi w:val="0"/>
        <w:adjustRightInd w:val="0"/>
        <w:snapToGrid/>
        <w:spacing w:after="72" w:afterLines="30"/>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cstheme="minorBidi"/>
          <w:kern w:val="2"/>
          <w:sz w:val="28"/>
          <w:szCs w:val="28"/>
          <w:lang w:val="en-US" w:eastAsia="zh-CN" w:bidi="ar-SA"/>
        </w:rPr>
        <w:t>（1）</w:t>
      </w:r>
      <w:r>
        <w:rPr>
          <w:rFonts w:hint="eastAsia" w:ascii="Times New Roman" w:hAnsi="Times New Roman" w:eastAsia="方正仿宋_GBK"/>
          <w:sz w:val="28"/>
          <w:szCs w:val="28"/>
          <w:lang w:val="en-US" w:eastAsia="zh-CN"/>
        </w:rPr>
        <w:t>MWA治疗良性甲状腺结节</w:t>
      </w:r>
    </w:p>
    <w:p w14:paraId="33753E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我们开展了队列研究，采用MWA治疗良性结节中位随访时间 36.00 (24.00, 36.00)月，术后随访 60 个月时，VRR 中位数达 88.46%，表明热消融对良性甲状腺结节具有较好的长期疗效。术后再生长率为 6.51%（49/753），再治疗率为 6.24%（47/753）。其中，83.67%（41/49）结节接受二次消融治疗，1 年后 VRR 达 53.96%。多因素 Cox 回归分析表明，术前结节最大直径、单位体积消融能量和患者年龄为结节再生长的独立预测因素（P&lt;0.05）。基于这些因素构建的列线图模型在训练集和验证集中 C-index 分别为 0.908 和 0.792，显示出良好的预测能力和临床实用性。12个月内射频消融（RFA ）疗效优于 MWA ，但随着随访时间延长，两者疗效相当。MWA术后无严重并发症发生。我们首次证明了乙醇消融和MWA治疗囊性或以囊性为主的甲状腺结节的疗效和安全性类似，但对小结节酒精消融比MWA更具成本效益和有效性。我们通过目前仅有的一项随机对照试验证实MWA和射频消融均可治疗良性实性甲状腺结节，其短期疗效和安全性无明显差别。</w:t>
      </w:r>
    </w:p>
    <w:p w14:paraId="0B1253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cstheme="minorBidi"/>
          <w:kern w:val="2"/>
          <w:sz w:val="28"/>
          <w:szCs w:val="28"/>
          <w:lang w:val="en-US" w:eastAsia="zh-CN" w:bidi="ar-SA"/>
        </w:rPr>
        <w:t>（2）</w:t>
      </w:r>
      <w:r>
        <w:rPr>
          <w:rFonts w:hint="eastAsia" w:ascii="Times New Roman" w:hAnsi="Times New Roman" w:eastAsia="方正仿宋_GBK"/>
          <w:sz w:val="28"/>
          <w:szCs w:val="28"/>
          <w:lang w:val="en-US" w:eastAsia="zh-CN"/>
        </w:rPr>
        <w:t>MWA治疗甲状腺肿瘤</w:t>
      </w:r>
    </w:p>
    <w:p w14:paraId="10A9AA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我们开展了队列研究评估MWA治疗低危甲状腺乳头状微癌（PTMC）的长期疗效和安全性，24个月大部分消融灶已消失，共4.55%存在局部肿瘤进展。我们首次发现，最大肿瘤直径和初始消融比是MWA后PTMC局部肿瘤进展的预测因素。另外，我们也对复发性甲状腺癌、转移性淋巴结开展热消融，术后肿瘤消融灶体积明显缩小甚至消失，甲状腺球蛋白水平显著降低。我们还首次对甲状腺滤泡性肿瘤进行MWA，证实对超声良性的滤泡性结节消融的安全性。此外，我们首次对甲状腺神经鞘瘤进行MWA，术后效果良好。</w:t>
      </w:r>
    </w:p>
    <w:p w14:paraId="199D8E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eastAsia="方正仿宋_GBK" w:cstheme="minorBidi"/>
          <w:kern w:val="2"/>
          <w:sz w:val="28"/>
          <w:szCs w:val="28"/>
          <w:lang w:val="en-US" w:eastAsia="zh-CN" w:bidi="ar-SA"/>
        </w:rPr>
      </w:pPr>
      <w:r>
        <w:rPr>
          <w:rFonts w:hint="eastAsia" w:ascii="Times New Roman" w:hAnsi="Times New Roman" w:eastAsia="方正仿宋_GBK" w:cstheme="minorBidi"/>
          <w:kern w:val="2"/>
          <w:sz w:val="28"/>
          <w:szCs w:val="28"/>
          <w:lang w:val="en-US" w:eastAsia="zh-CN" w:bidi="ar-SA"/>
        </w:rPr>
        <w:t>（3）MWA治疗持续性/复发性甲亢</w:t>
      </w:r>
    </w:p>
    <w:p w14:paraId="08D5AA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我们对持续或复发性甲亢患者进行MWA，术后促甲状腺素受体抗体、抗甲状腺药物剂量、甲状腺体积逐步降低，22.73%在末次随访时停药，未出现严重的并发症。我们首次证实MWA治疗持续或复发性甲亢具有较好的有效性和安全性，可显著缩小甲状腺体积，减少ATD剂量，并能使部分患者停药。</w:t>
      </w:r>
    </w:p>
    <w:p w14:paraId="43071D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cstheme="minorBidi"/>
          <w:kern w:val="2"/>
          <w:sz w:val="28"/>
          <w:szCs w:val="28"/>
          <w:lang w:val="en-US" w:eastAsia="zh-CN" w:bidi="ar-SA"/>
        </w:rPr>
        <w:t>（4）</w:t>
      </w:r>
      <w:r>
        <w:rPr>
          <w:rFonts w:hint="eastAsia" w:ascii="Times New Roman" w:hAnsi="Times New Roman" w:eastAsia="方正仿宋_GBK"/>
          <w:sz w:val="28"/>
          <w:szCs w:val="28"/>
          <w:lang w:val="en-US" w:eastAsia="zh-CN"/>
        </w:rPr>
        <w:t>MWA治疗原发性甲旁亢</w:t>
      </w:r>
    </w:p>
    <w:p w14:paraId="1FEFD6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我们使用超声引导下MWA治疗PHPT，术后20分钟、4小时、1天、3个月、6个月和12个月的血清甲状旁腺激素（PTH）、钙和磷水平均显著下降，技术和临床成功率分别为100%和63.6%。我们首次证实，MWA前后骨转换生物标志物发生显著变化，无重大并发症发生。我们首次对8例多发性内分泌腺瘤综合征合并的PHPT进行MWA治疗，术后7例患者PTH和血钙均恢复正常。</w:t>
      </w:r>
    </w:p>
    <w:p w14:paraId="1BFC58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（5）研发无水冷微波消融天线</w:t>
      </w:r>
    </w:p>
    <w:p w14:paraId="0E55E0D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尽管微波消融创伤相对较小，但因天线内含水冷系统，至少为18G。我们研发了一种无需水冷的肿瘤微波消融针，针体更细，创伤更小，损耗也更小，效率更高，可实现大肿瘤实体的消融，且碳化程度更低，更有利于病人的日后康复。</w:t>
      </w:r>
    </w:p>
    <w:p w14:paraId="527705B4">
      <w:pPr>
        <w:keepNext w:val="0"/>
        <w:keepLines w:val="0"/>
        <w:pageBreakBefore w:val="0"/>
        <w:widowControl w:val="0"/>
        <w:kinsoku/>
        <w:wordWrap/>
        <w:overflowPunct/>
        <w:topLinePunct w:val="0"/>
        <w:autoSpaceDE/>
        <w:autoSpaceDN/>
        <w:bidi w:val="0"/>
        <w:adjustRightInd w:val="0"/>
        <w:snapToGrid/>
        <w:spacing w:after="72" w:afterLines="30"/>
        <w:ind w:firstLine="560" w:firstLineChars="200"/>
        <w:textAlignment w:val="auto"/>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本系列研究已再国内核心期刊上发表论文22篇，其中SCI收录8篇，中华类12篇，并有相关专利5项。这一系列成果使我们对甲状腺和甲状旁腺疾病MWA疗效和安全性有了更为深刻的认识，并有助于积极推动相关技术的规范化实施。</w:t>
      </w:r>
    </w:p>
    <w:p w14:paraId="2902E0F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主要知识产权目录</w:t>
      </w:r>
    </w:p>
    <w:p w14:paraId="2DE5BE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[1]刘中一，徐书杭，方志军，刘超，徐建伟，陈瑜，李永静，江华。一种无需水冷的肿瘤微波消融针，中国，实用新型，专利号：CN201921576958.X，授权公告日：2020年07月17日，授权公告号：CN110523003A</w:t>
      </w:r>
    </w:p>
    <w:p w14:paraId="6624A7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[2]刘中一，刘文婕，方志军，徐书杭，刘超，张科，陈瑜，何磊，高剑辉。一种用于高压陡脉冲的双极性肿瘤消融针，中国，发明专利，专利号：CN202111233385.2，授权公告日：2022年01月21日，授权公告号：CN113952024A</w:t>
      </w:r>
    </w:p>
    <w:p w14:paraId="0E9277C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[3]刘中一，陈瑜，罗昕炜，高剑，輝何磊，方志軍，徐书杭，葛京平，张科。一种高频高压纳米刀系统，中国，实用新型，专利号：CN218922763U，授权公告日：2023年04月28日，授权公告号：CN202223285936.2</w:t>
      </w:r>
    </w:p>
    <w:p w14:paraId="382ACE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[4]刘中一，陈瑜，罗昕炜，高剑輝，何磊，方志軍，徐书杭，葛京平，张科。一种高频高压纳米刀实现方法及系统，中国，发明专利，专利号：CN116138869A，授权公告日：2023年05月23日，授权公告号：CN202211571489.9</w:t>
      </w:r>
    </w:p>
    <w:p w14:paraId="267068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[5]刘中一，高剑辉，陈瑜，徐书杭，方志军，刘超，徐建伟，罗昕炜，何磊，张科，刘文婕，张春。高集成度R波触发肿瘤治疗仪，中国，发明专利，专利号：CN117084779A，授权公告日：2023年11月21日，授权公告号：CN202311169888.7</w:t>
      </w:r>
    </w:p>
    <w:p w14:paraId="772DA4B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推广应用情况</w:t>
      </w:r>
    </w:p>
    <w:p w14:paraId="5CB5F672">
      <w:pPr>
        <w:keepNext w:val="0"/>
        <w:keepLines w:val="0"/>
        <w:pageBreakBefore w:val="0"/>
        <w:widowControl w:val="0"/>
        <w:kinsoku/>
        <w:wordWrap/>
        <w:overflowPunct/>
        <w:topLinePunct w:val="0"/>
        <w:autoSpaceDE/>
        <w:autoSpaceDN/>
        <w:bidi w:val="0"/>
        <w:adjustRightInd w:val="0"/>
        <w:snapToGrid/>
        <w:spacing w:after="72" w:afterLines="30"/>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1）将MWA广泛用于治疗多种甲状腺/甲状旁腺疾病，包括甲状腺良性结节、甲状腺微小乳头状癌、Graves甲亢、自主高功能性腺瘤、分化型甲状腺癌术后转移性淋巴结以及甲状旁腺腺瘤引起的原发性甲状旁腺功能亢进症等（2014-2024年）；</w:t>
      </w:r>
    </w:p>
    <w:p w14:paraId="6B96F300">
      <w:pPr>
        <w:keepNext w:val="0"/>
        <w:keepLines w:val="0"/>
        <w:pageBreakBefore w:val="0"/>
        <w:widowControl w:val="0"/>
        <w:kinsoku/>
        <w:wordWrap/>
        <w:overflowPunct/>
        <w:topLinePunct w:val="0"/>
        <w:autoSpaceDE/>
        <w:autoSpaceDN/>
        <w:bidi w:val="0"/>
        <w:adjustRightInd w:val="0"/>
        <w:snapToGrid/>
        <w:spacing w:after="72" w:afterLines="30"/>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（2）基于前期设计、研发的无需水冷的消融针（2020年），通过多中心、大样本、长时间随访的人群队列研究，进一步验证该种更细、更轻、操作更为简易的消融针治疗甲状腺/甲状旁腺疾病的有效性和安全性；</w:t>
      </w:r>
    </w:p>
    <w:p w14:paraId="67E9E893">
      <w:pPr>
        <w:keepNext w:val="0"/>
        <w:keepLines w:val="0"/>
        <w:pageBreakBefore w:val="0"/>
        <w:widowControl w:val="0"/>
        <w:kinsoku/>
        <w:wordWrap/>
        <w:overflowPunct/>
        <w:topLinePunct w:val="0"/>
        <w:autoSpaceDE/>
        <w:autoSpaceDN/>
        <w:bidi w:val="0"/>
        <w:adjustRightInd w:val="0"/>
        <w:snapToGrid/>
        <w:spacing w:after="72" w:afterLines="30"/>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（3）通过比较传统消融和新型消融技术的不同点，以及热消融与其他治疗技术的疗效差异，同时分析可影响病情进展或转归的相关因素，从而形成适合国人的甲状腺/甲状旁腺疾病的热消融规范；</w:t>
      </w:r>
    </w:p>
    <w:p w14:paraId="301AF610">
      <w:pPr>
        <w:keepNext w:val="0"/>
        <w:keepLines w:val="0"/>
        <w:pageBreakBefore w:val="0"/>
        <w:widowControl w:val="0"/>
        <w:kinsoku/>
        <w:wordWrap/>
        <w:overflowPunct/>
        <w:topLinePunct w:val="0"/>
        <w:autoSpaceDE/>
        <w:autoSpaceDN/>
        <w:bidi w:val="0"/>
        <w:adjustRightInd w:val="0"/>
        <w:snapToGrid/>
        <w:spacing w:after="72" w:afterLines="30"/>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（4）基于已形成的数据库，扩大构建江苏省内甲状腺/甲状旁腺疾病患者的个案信息管理平台，实现数据采集、挖掘、分析等功能，进一步探究本市及江苏省内患有甲状腺/甲状旁腺疾病的人群特征， 并最终形成MWA治疗后的疗效评价体系（2024年）；</w:t>
      </w:r>
    </w:p>
    <w:p w14:paraId="1DA8DAAD">
      <w:pPr>
        <w:keepNext w:val="0"/>
        <w:keepLines w:val="0"/>
        <w:pageBreakBefore w:val="0"/>
        <w:widowControl w:val="0"/>
        <w:kinsoku/>
        <w:wordWrap/>
        <w:overflowPunct/>
        <w:topLinePunct w:val="0"/>
        <w:autoSpaceDE/>
        <w:autoSpaceDN/>
        <w:bidi w:val="0"/>
        <w:adjustRightInd w:val="0"/>
        <w:snapToGrid/>
        <w:spacing w:after="72" w:afterLines="30"/>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5）将临床实践转化为系统理论知识。编写甲状腺/甲状旁腺疾病热消融新方案1-2套，编写培训教材1部，编撰甲状腺/甲状旁腺相关疾病专业论著、科普书各至少1部，协助中国抗癌协会肿瘤消融治疗专业委员会（2024年）、中国临床肿瘤学会（2022、2023年）、中国中西医结合学会（2023年）书写甲状腺疾病相关规范或指南至少4部；</w:t>
      </w:r>
    </w:p>
    <w:p w14:paraId="4F3FA2E3">
      <w:pPr>
        <w:keepNext w:val="0"/>
        <w:keepLines w:val="0"/>
        <w:pageBreakBefore w:val="0"/>
        <w:widowControl w:val="0"/>
        <w:kinsoku/>
        <w:wordWrap/>
        <w:overflowPunct/>
        <w:topLinePunct w:val="0"/>
        <w:autoSpaceDE/>
        <w:autoSpaceDN/>
        <w:bidi w:val="0"/>
        <w:adjustRightInd w:val="0"/>
        <w:snapToGrid/>
        <w:spacing w:after="72" w:afterLines="30"/>
        <w:ind w:firstLine="560" w:firstLineChars="200"/>
        <w:textAlignment w:val="auto"/>
        <w:rPr>
          <w:rFonts w:hint="eastAsia"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（6）开展MWA新技术的培训及人才培养。在省内多家三级医院进行共同开发和合理推广应用，推动MWA临床规范化诊疗和同质化医疗服务，提升区域特色服务能力和区域外辐射能力（2021-2024年）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48615BCC-3A69-455B-8C4D-7BE43DB0D177}"/>
  </w:font>
  <w:font w:name="方正黑体_GBK">
    <w:panose1 w:val="02000000000000000000"/>
    <w:charset w:val="86"/>
    <w:family w:val="auto"/>
    <w:pitch w:val="default"/>
    <w:sig w:usb0="A00002BF" w:usb1="38CF7CFA" w:usb2="00082016" w:usb3="00000000" w:csb0="00040001" w:csb1="00000000"/>
    <w:embedRegular r:id="rId2" w:fontKey="{02E43ABB-08E1-467A-A124-AB7595AE008F}"/>
  </w:font>
  <w:font w:name="方正仿宋_GBK">
    <w:panose1 w:val="02000000000000000000"/>
    <w:charset w:val="86"/>
    <w:family w:val="auto"/>
    <w:pitch w:val="default"/>
    <w:sig w:usb0="A00002BF" w:usb1="38CF7CFA" w:usb2="00082016" w:usb3="00000000" w:csb0="00040001" w:csb1="00000000"/>
    <w:embedRegular r:id="rId3" w:fontKey="{FAACF953-1233-4455-923A-2810B5DAAEC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2EFD0"/>
    <w:multiLevelType w:val="singleLevel"/>
    <w:tmpl w:val="8322EFD0"/>
    <w:lvl w:ilvl="0" w:tentative="0">
      <w:start w:val="2"/>
      <w:numFmt w:val="decimal"/>
      <w:suff w:val="space"/>
      <w:lvlText w:val="%1."/>
      <w:lvlJc w:val="left"/>
    </w:lvl>
  </w:abstractNum>
  <w:abstractNum w:abstractNumId="1">
    <w:nsid w:val="B634AAFB"/>
    <w:multiLevelType w:val="singleLevel"/>
    <w:tmpl w:val="B634AAFB"/>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D16EF"/>
    <w:rsid w:val="10A61FE6"/>
    <w:rsid w:val="13960856"/>
    <w:rsid w:val="2E060A6A"/>
    <w:rsid w:val="37B3452D"/>
    <w:rsid w:val="50244800"/>
    <w:rsid w:val="629A50BB"/>
    <w:rsid w:val="65011421"/>
    <w:rsid w:val="6F1D581B"/>
    <w:rsid w:val="6F896026"/>
    <w:rsid w:val="795C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3021</Words>
  <Characters>3436</Characters>
  <Lines>0</Lines>
  <Paragraphs>0</Paragraphs>
  <TotalTime>0</TotalTime>
  <ScaleCrop>false</ScaleCrop>
  <LinksUpToDate>false</LinksUpToDate>
  <CharactersWithSpaces>3478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2025-05-23T07:04:00Z</dcterms:created>
  <dc:creator>jojo</dc:creator>
  <cp:lastModifiedBy>隔壁的jojo</cp:lastModifiedBy>
  <dcterms:modified xsi:type="dcterms:W3CDTF">2025-05-23T09:56:58Z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eyJoZGlkIjoiYjE2MTYwYTE3YzA0ZGFjZTAyMDlkNzJhYWZhZGQ5YzIiLCJ1c2VySWQiOiIzNjc0NTc2NjYifQ==</vt:lpwstr>
  </property>
  <property fmtid="{D5CDD505-2E9C-101B-9397-08002B2CF9AE}" pid="4" name="ICV">
    <vt:lpwstr>0F36334C1374419E8C60B9A638BD33FC_12</vt:lpwstr>
  </property>
</Properties>
</file>